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583B" w14:textId="77777777" w:rsidR="000C48C1" w:rsidRPr="009560BD" w:rsidRDefault="000C48C1" w:rsidP="004626D7">
      <w:pPr>
        <w:adjustRightInd w:val="0"/>
        <w:ind w:left="11340"/>
        <w:jc w:val="both"/>
        <w:rPr>
          <w:sz w:val="28"/>
          <w:szCs w:val="28"/>
        </w:rPr>
      </w:pPr>
      <w:r w:rsidRPr="009560BD">
        <w:rPr>
          <w:rStyle w:val="rvts9"/>
          <w:sz w:val="28"/>
          <w:szCs w:val="28"/>
        </w:rPr>
        <w:t>ЗАТВЕРДЖЕНО</w:t>
      </w:r>
    </w:p>
    <w:p w14:paraId="2D2AA7C7" w14:textId="77777777" w:rsidR="000C48C1" w:rsidRPr="009560BD" w:rsidRDefault="00663384" w:rsidP="004626D7">
      <w:pPr>
        <w:adjustRightInd w:val="0"/>
        <w:ind w:left="113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Р</w:t>
      </w:r>
      <w:r w:rsidR="000C48C1" w:rsidRPr="009560BD">
        <w:rPr>
          <w:sz w:val="28"/>
          <w:szCs w:val="28"/>
          <w:lang/>
        </w:rPr>
        <w:t>ішення Національної комісії</w:t>
      </w:r>
    </w:p>
    <w:p w14:paraId="587336B0" w14:textId="77777777" w:rsidR="000C48C1" w:rsidRPr="009560BD" w:rsidRDefault="000C48C1" w:rsidP="004626D7">
      <w:pPr>
        <w:adjustRightInd w:val="0"/>
        <w:ind w:left="11340"/>
        <w:jc w:val="both"/>
        <w:rPr>
          <w:sz w:val="28"/>
          <w:szCs w:val="28"/>
          <w:lang/>
        </w:rPr>
      </w:pPr>
      <w:r w:rsidRPr="009560BD">
        <w:rPr>
          <w:sz w:val="28"/>
          <w:szCs w:val="28"/>
          <w:lang/>
        </w:rPr>
        <w:t>зі стандартів державної мови</w:t>
      </w:r>
    </w:p>
    <w:p w14:paraId="5705DD05" w14:textId="77777777" w:rsidR="000C48C1" w:rsidRDefault="00091AA7" w:rsidP="004626D7">
      <w:pPr>
        <w:adjustRightInd w:val="0"/>
        <w:ind w:left="11340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05</w:t>
      </w:r>
      <w:r w:rsidR="000C48C1" w:rsidRPr="009560BD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>січня</w:t>
      </w:r>
      <w:r w:rsidR="004626D7">
        <w:rPr>
          <w:sz w:val="28"/>
          <w:szCs w:val="28"/>
          <w:lang/>
        </w:rPr>
        <w:t xml:space="preserve"> </w:t>
      </w:r>
      <w:r w:rsidR="000C48C1" w:rsidRPr="009560BD">
        <w:rPr>
          <w:sz w:val="28"/>
          <w:szCs w:val="28"/>
          <w:lang/>
        </w:rPr>
        <w:t>20</w:t>
      </w:r>
      <w:r w:rsidR="00152CF6">
        <w:rPr>
          <w:sz w:val="28"/>
          <w:szCs w:val="28"/>
          <w:lang/>
        </w:rPr>
        <w:t>2</w:t>
      </w:r>
      <w:r w:rsidR="00402C1F">
        <w:rPr>
          <w:sz w:val="28"/>
          <w:szCs w:val="28"/>
          <w:lang/>
        </w:rPr>
        <w:t>4</w:t>
      </w:r>
      <w:r w:rsidR="00663384">
        <w:rPr>
          <w:sz w:val="28"/>
          <w:szCs w:val="28"/>
          <w:lang/>
        </w:rPr>
        <w:t xml:space="preserve"> року</w:t>
      </w:r>
      <w:r w:rsidR="000C48C1" w:rsidRPr="009560BD">
        <w:rPr>
          <w:sz w:val="28"/>
          <w:szCs w:val="28"/>
          <w:lang/>
        </w:rPr>
        <w:t xml:space="preserve"> №</w:t>
      </w:r>
      <w:r>
        <w:rPr>
          <w:sz w:val="28"/>
          <w:szCs w:val="28"/>
          <w:lang/>
        </w:rPr>
        <w:t xml:space="preserve"> 4</w:t>
      </w:r>
    </w:p>
    <w:p w14:paraId="16FCF5EA" w14:textId="77777777" w:rsidR="00961266" w:rsidRPr="00C8020F" w:rsidRDefault="00961266" w:rsidP="00961266">
      <w:pPr>
        <w:adjustRightInd w:val="0"/>
        <w:ind w:left="11340"/>
        <w:jc w:val="both"/>
        <w:rPr>
          <w:bCs/>
          <w:sz w:val="28"/>
          <w:szCs w:val="24"/>
        </w:rPr>
      </w:pPr>
      <w:r w:rsidRPr="00C8020F">
        <w:rPr>
          <w:bCs/>
          <w:sz w:val="28"/>
          <w:szCs w:val="24"/>
        </w:rPr>
        <w:t xml:space="preserve">(у редакції рішення </w:t>
      </w:r>
    </w:p>
    <w:p w14:paraId="0172D778" w14:textId="77777777" w:rsidR="00C8020F" w:rsidRDefault="00961266" w:rsidP="00961266">
      <w:pPr>
        <w:adjustRightInd w:val="0"/>
        <w:ind w:left="11340"/>
        <w:jc w:val="both"/>
        <w:rPr>
          <w:bCs/>
          <w:sz w:val="28"/>
          <w:szCs w:val="24"/>
        </w:rPr>
      </w:pPr>
      <w:r w:rsidRPr="00C8020F">
        <w:rPr>
          <w:bCs/>
          <w:sz w:val="28"/>
          <w:szCs w:val="24"/>
        </w:rPr>
        <w:t xml:space="preserve">Національної комісії </w:t>
      </w:r>
    </w:p>
    <w:p w14:paraId="2DC0D8AF" w14:textId="77777777" w:rsidR="00961266" w:rsidRPr="00C8020F" w:rsidRDefault="00961266" w:rsidP="00961266">
      <w:pPr>
        <w:adjustRightInd w:val="0"/>
        <w:ind w:left="11340"/>
        <w:jc w:val="both"/>
        <w:rPr>
          <w:bCs/>
          <w:sz w:val="28"/>
          <w:szCs w:val="24"/>
        </w:rPr>
      </w:pPr>
      <w:r w:rsidRPr="00C8020F">
        <w:rPr>
          <w:bCs/>
          <w:sz w:val="28"/>
          <w:szCs w:val="24"/>
        </w:rPr>
        <w:t xml:space="preserve">зі стандартів державної мови </w:t>
      </w:r>
    </w:p>
    <w:p w14:paraId="5A456CFE" w14:textId="77777777" w:rsidR="00961266" w:rsidRDefault="00D1456E" w:rsidP="00961266">
      <w:pPr>
        <w:adjustRightInd w:val="0"/>
        <w:ind w:left="11340"/>
        <w:jc w:val="both"/>
        <w:rPr>
          <w:bCs/>
          <w:sz w:val="26"/>
        </w:rPr>
      </w:pPr>
      <w:r>
        <w:rPr>
          <w:bCs/>
          <w:sz w:val="28"/>
          <w:szCs w:val="24"/>
        </w:rPr>
        <w:t>29</w:t>
      </w:r>
      <w:r w:rsidR="00961266" w:rsidRPr="00C8020F">
        <w:rPr>
          <w:bCs/>
          <w:sz w:val="28"/>
          <w:szCs w:val="24"/>
        </w:rPr>
        <w:t xml:space="preserve"> березня 2024 року № </w:t>
      </w:r>
      <w:r>
        <w:rPr>
          <w:bCs/>
          <w:sz w:val="28"/>
          <w:szCs w:val="24"/>
        </w:rPr>
        <w:t>86</w:t>
      </w:r>
      <w:r w:rsidR="00961266" w:rsidRPr="00C8020F">
        <w:rPr>
          <w:bCs/>
          <w:sz w:val="28"/>
          <w:szCs w:val="24"/>
        </w:rPr>
        <w:t>)</w:t>
      </w:r>
    </w:p>
    <w:p w14:paraId="34733330" w14:textId="77777777" w:rsidR="00961266" w:rsidRDefault="00961266" w:rsidP="00961266">
      <w:pPr>
        <w:adjustRightInd w:val="0"/>
        <w:ind w:left="11340"/>
        <w:jc w:val="both"/>
        <w:rPr>
          <w:bCs/>
          <w:sz w:val="26"/>
        </w:rPr>
      </w:pPr>
    </w:p>
    <w:p w14:paraId="427F919A" w14:textId="77777777" w:rsidR="00961266" w:rsidRPr="00961266" w:rsidRDefault="00961266" w:rsidP="00961266">
      <w:pPr>
        <w:adjustRightInd w:val="0"/>
        <w:ind w:left="11340"/>
        <w:jc w:val="right"/>
        <w:rPr>
          <w:b/>
          <w:sz w:val="26"/>
        </w:rPr>
      </w:pPr>
    </w:p>
    <w:p w14:paraId="3301A0A1" w14:textId="77777777" w:rsidR="000C48C1" w:rsidRPr="009560BD" w:rsidRDefault="000C48C1">
      <w:pPr>
        <w:spacing w:line="298" w:lineRule="exact"/>
        <w:ind w:left="5036" w:right="5316"/>
        <w:jc w:val="center"/>
        <w:rPr>
          <w:b/>
          <w:sz w:val="28"/>
          <w:szCs w:val="24"/>
        </w:rPr>
      </w:pPr>
    </w:p>
    <w:p w14:paraId="607C189A" w14:textId="77777777" w:rsidR="008D066F" w:rsidRPr="009560BD" w:rsidRDefault="004A5B80">
      <w:pPr>
        <w:spacing w:line="298" w:lineRule="exact"/>
        <w:ind w:left="5036" w:right="5316"/>
        <w:jc w:val="center"/>
        <w:rPr>
          <w:b/>
          <w:sz w:val="28"/>
          <w:szCs w:val="24"/>
        </w:rPr>
      </w:pPr>
      <w:r w:rsidRPr="009560BD">
        <w:rPr>
          <w:b/>
          <w:sz w:val="28"/>
          <w:szCs w:val="24"/>
        </w:rPr>
        <w:t>ОРІЄНТОВНИЙ</w:t>
      </w:r>
      <w:r w:rsidRPr="009560BD">
        <w:rPr>
          <w:b/>
          <w:spacing w:val="-10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ПЛАН</w:t>
      </w:r>
    </w:p>
    <w:p w14:paraId="13C8BD2A" w14:textId="77777777" w:rsidR="008D066F" w:rsidRPr="009560BD" w:rsidRDefault="004A5B80" w:rsidP="00870627">
      <w:pPr>
        <w:spacing w:before="1"/>
        <w:ind w:right="51"/>
        <w:jc w:val="center"/>
        <w:rPr>
          <w:b/>
          <w:sz w:val="28"/>
          <w:szCs w:val="24"/>
        </w:rPr>
      </w:pPr>
      <w:r w:rsidRPr="009560BD">
        <w:rPr>
          <w:b/>
          <w:sz w:val="28"/>
          <w:szCs w:val="24"/>
        </w:rPr>
        <w:t>проведення</w:t>
      </w:r>
      <w:r w:rsidRPr="009560BD">
        <w:rPr>
          <w:b/>
          <w:spacing w:val="-14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консультацій</w:t>
      </w:r>
      <w:r w:rsidRPr="009560BD">
        <w:rPr>
          <w:b/>
          <w:spacing w:val="-11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з</w:t>
      </w:r>
      <w:r w:rsidRPr="009560BD">
        <w:rPr>
          <w:b/>
          <w:spacing w:val="-11"/>
          <w:sz w:val="28"/>
          <w:szCs w:val="24"/>
        </w:rPr>
        <w:t xml:space="preserve"> </w:t>
      </w:r>
      <w:r w:rsidR="00870627" w:rsidRPr="009560BD">
        <w:rPr>
          <w:b/>
          <w:spacing w:val="-11"/>
          <w:sz w:val="28"/>
          <w:szCs w:val="24"/>
        </w:rPr>
        <w:t>г</w:t>
      </w:r>
      <w:r w:rsidRPr="009560BD">
        <w:rPr>
          <w:b/>
          <w:sz w:val="28"/>
          <w:szCs w:val="24"/>
        </w:rPr>
        <w:t>ромадськістю</w:t>
      </w:r>
      <w:r w:rsidR="00870627" w:rsidRPr="009560BD">
        <w:rPr>
          <w:b/>
          <w:sz w:val="28"/>
          <w:szCs w:val="24"/>
        </w:rPr>
        <w:t xml:space="preserve"> </w:t>
      </w:r>
      <w:r w:rsidRPr="009560BD">
        <w:rPr>
          <w:b/>
          <w:spacing w:val="-62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на</w:t>
      </w:r>
      <w:r w:rsidRPr="009560BD">
        <w:rPr>
          <w:b/>
          <w:spacing w:val="-2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202</w:t>
      </w:r>
      <w:r w:rsidR="00402C1F">
        <w:rPr>
          <w:b/>
          <w:sz w:val="28"/>
          <w:szCs w:val="24"/>
        </w:rPr>
        <w:t>4</w:t>
      </w:r>
      <w:r w:rsidRPr="009560BD">
        <w:rPr>
          <w:b/>
          <w:spacing w:val="2"/>
          <w:sz w:val="28"/>
          <w:szCs w:val="24"/>
        </w:rPr>
        <w:t xml:space="preserve"> </w:t>
      </w:r>
      <w:r w:rsidRPr="009560BD">
        <w:rPr>
          <w:b/>
          <w:sz w:val="28"/>
          <w:szCs w:val="24"/>
        </w:rPr>
        <w:t>рік</w:t>
      </w:r>
    </w:p>
    <w:p w14:paraId="170DB958" w14:textId="77777777" w:rsidR="008D066F" w:rsidRPr="009560BD" w:rsidRDefault="008D066F">
      <w:pPr>
        <w:pStyle w:val="a3"/>
        <w:ind w:left="0"/>
        <w:rPr>
          <w:b/>
          <w:sz w:val="25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60"/>
        <w:gridCol w:w="2126"/>
        <w:gridCol w:w="2127"/>
        <w:gridCol w:w="2693"/>
        <w:gridCol w:w="4183"/>
      </w:tblGrid>
      <w:tr w:rsidR="008D066F" w:rsidRPr="009560BD" w14:paraId="45CF2929" w14:textId="77777777" w:rsidTr="00FE4E51">
        <w:trPr>
          <w:trHeight w:val="1043"/>
        </w:trPr>
        <w:tc>
          <w:tcPr>
            <w:tcW w:w="709" w:type="dxa"/>
            <w:shd w:val="clear" w:color="auto" w:fill="auto"/>
          </w:tcPr>
          <w:p w14:paraId="048C2A95" w14:textId="77777777" w:rsidR="008D066F" w:rsidRPr="00FE4E51" w:rsidRDefault="004A5B80" w:rsidP="00FE4E51">
            <w:pPr>
              <w:pStyle w:val="TableParagraph"/>
              <w:spacing w:line="298" w:lineRule="exact"/>
              <w:ind w:left="184"/>
              <w:rPr>
                <w:b/>
                <w:w w:val="93"/>
                <w:sz w:val="20"/>
                <w:szCs w:val="16"/>
              </w:rPr>
            </w:pPr>
            <w:r w:rsidRPr="00FE4E51">
              <w:rPr>
                <w:b/>
                <w:w w:val="93"/>
                <w:sz w:val="20"/>
                <w:szCs w:val="16"/>
              </w:rPr>
              <w:t>№</w:t>
            </w:r>
          </w:p>
          <w:p w14:paraId="104A3FCB" w14:textId="77777777" w:rsidR="00CB66A2" w:rsidRPr="00FE4E51" w:rsidRDefault="00CB66A2" w:rsidP="00FE4E51">
            <w:pPr>
              <w:pStyle w:val="TableParagraph"/>
              <w:spacing w:line="298" w:lineRule="exact"/>
              <w:ind w:left="184"/>
              <w:rPr>
                <w:b/>
                <w:sz w:val="20"/>
                <w:szCs w:val="16"/>
              </w:rPr>
            </w:pPr>
            <w:r w:rsidRPr="00FE4E51">
              <w:rPr>
                <w:b/>
                <w:w w:val="93"/>
                <w:sz w:val="20"/>
                <w:szCs w:val="16"/>
              </w:rPr>
              <w:t>з/п</w:t>
            </w:r>
          </w:p>
        </w:tc>
        <w:tc>
          <w:tcPr>
            <w:tcW w:w="3260" w:type="dxa"/>
            <w:shd w:val="clear" w:color="auto" w:fill="auto"/>
          </w:tcPr>
          <w:p w14:paraId="0B7E01ED" w14:textId="77777777" w:rsidR="008D066F" w:rsidRPr="00FE4E51" w:rsidRDefault="004A5B80" w:rsidP="00FE4E51">
            <w:pPr>
              <w:pStyle w:val="TableParagraph"/>
              <w:ind w:left="333" w:right="295" w:hanging="2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Питання або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</w:t>
            </w:r>
            <w:r w:rsidR="00CB66A2" w:rsidRPr="00FE4E51">
              <w:rPr>
                <w:b/>
                <w:sz w:val="20"/>
                <w:szCs w:val="16"/>
              </w:rPr>
              <w:t>є</w:t>
            </w:r>
            <w:r w:rsidRPr="00FE4E51">
              <w:rPr>
                <w:b/>
                <w:sz w:val="20"/>
                <w:szCs w:val="16"/>
              </w:rPr>
              <w:t>кт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нормативно-</w:t>
            </w:r>
            <w:r w:rsidRPr="00FE4E51">
              <w:rPr>
                <w:b/>
                <w:w w:val="95"/>
                <w:sz w:val="20"/>
                <w:szCs w:val="16"/>
              </w:rPr>
              <w:t>правового</w:t>
            </w:r>
            <w:r w:rsidRPr="00FE4E51">
              <w:rPr>
                <w:b/>
                <w:spacing w:val="29"/>
                <w:w w:val="95"/>
                <w:sz w:val="20"/>
                <w:szCs w:val="16"/>
              </w:rPr>
              <w:t xml:space="preserve"> </w:t>
            </w:r>
            <w:r w:rsidRPr="00FE4E51">
              <w:rPr>
                <w:b/>
                <w:w w:val="95"/>
                <w:sz w:val="20"/>
                <w:szCs w:val="16"/>
              </w:rPr>
              <w:t>акта</w:t>
            </w:r>
          </w:p>
        </w:tc>
        <w:tc>
          <w:tcPr>
            <w:tcW w:w="2126" w:type="dxa"/>
            <w:shd w:val="clear" w:color="auto" w:fill="auto"/>
          </w:tcPr>
          <w:p w14:paraId="7C1C96E5" w14:textId="77777777" w:rsidR="008D066F" w:rsidRPr="00FE4E51" w:rsidRDefault="004A5B80" w:rsidP="00FE4E51">
            <w:pPr>
              <w:pStyle w:val="TableParagraph"/>
              <w:ind w:left="183" w:right="142" w:firstLine="2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Захід,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що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проводитиметься у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pacing w:val="-1"/>
                <w:sz w:val="20"/>
                <w:szCs w:val="16"/>
              </w:rPr>
              <w:t>рамках консультацій</w:t>
            </w:r>
            <w:r w:rsidR="00B6101F" w:rsidRPr="00B6101F">
              <w:rPr>
                <w:b/>
                <w:spacing w:val="-1"/>
                <w:sz w:val="20"/>
                <w:szCs w:val="16"/>
                <w:lang w:val="ru-RU"/>
              </w:rPr>
              <w:t xml:space="preserve"> 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="00B6101F" w:rsidRPr="00B6101F">
              <w:rPr>
                <w:b/>
                <w:spacing w:val="-62"/>
                <w:sz w:val="20"/>
                <w:szCs w:val="16"/>
                <w:lang w:val="ru-RU"/>
              </w:rPr>
              <w:t xml:space="preserve">  </w:t>
            </w:r>
            <w:r w:rsidRPr="00FE4E51">
              <w:rPr>
                <w:b/>
                <w:sz w:val="20"/>
                <w:szCs w:val="16"/>
              </w:rPr>
              <w:t>з</w:t>
            </w:r>
            <w:r w:rsidRPr="00FE4E51">
              <w:rPr>
                <w:b/>
                <w:spacing w:val="-8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громадськістю</w:t>
            </w:r>
          </w:p>
        </w:tc>
        <w:tc>
          <w:tcPr>
            <w:tcW w:w="2127" w:type="dxa"/>
            <w:shd w:val="clear" w:color="auto" w:fill="auto"/>
          </w:tcPr>
          <w:p w14:paraId="6FD5B910" w14:textId="77777777" w:rsidR="008D066F" w:rsidRPr="00FE4E51" w:rsidRDefault="004A5B80" w:rsidP="00FE4E51">
            <w:pPr>
              <w:pStyle w:val="TableParagraph"/>
              <w:ind w:left="284" w:right="173" w:hanging="96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Строк</w:t>
            </w:r>
            <w:r w:rsidRPr="00FE4E51">
              <w:rPr>
                <w:b/>
                <w:spacing w:val="-12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проведення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консультацій</w:t>
            </w:r>
          </w:p>
        </w:tc>
        <w:tc>
          <w:tcPr>
            <w:tcW w:w="2693" w:type="dxa"/>
            <w:shd w:val="clear" w:color="auto" w:fill="auto"/>
          </w:tcPr>
          <w:p w14:paraId="75298DF9" w14:textId="77777777" w:rsidR="008D066F" w:rsidRPr="00FE4E51" w:rsidRDefault="004A5B80" w:rsidP="00FE4E51">
            <w:pPr>
              <w:pStyle w:val="TableParagraph"/>
              <w:ind w:left="342" w:right="315" w:hanging="3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Заінтересовані сторони,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яких планується залучити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Pr="00FE4E51">
              <w:rPr>
                <w:b/>
                <w:w w:val="95"/>
                <w:sz w:val="20"/>
                <w:szCs w:val="16"/>
              </w:rPr>
              <w:t>до</w:t>
            </w:r>
            <w:r w:rsidRPr="00FE4E51">
              <w:rPr>
                <w:b/>
                <w:spacing w:val="11"/>
                <w:w w:val="95"/>
                <w:sz w:val="20"/>
                <w:szCs w:val="16"/>
              </w:rPr>
              <w:t xml:space="preserve"> </w:t>
            </w:r>
            <w:r w:rsidRPr="00FE4E51">
              <w:rPr>
                <w:b/>
                <w:w w:val="95"/>
                <w:sz w:val="20"/>
                <w:szCs w:val="16"/>
              </w:rPr>
              <w:t>консультацій</w:t>
            </w:r>
          </w:p>
        </w:tc>
        <w:tc>
          <w:tcPr>
            <w:tcW w:w="4183" w:type="dxa"/>
            <w:shd w:val="clear" w:color="auto" w:fill="auto"/>
          </w:tcPr>
          <w:p w14:paraId="563890B4" w14:textId="77777777" w:rsidR="008D066F" w:rsidRPr="00FE4E51" w:rsidRDefault="004A5B80" w:rsidP="00FE4E51">
            <w:pPr>
              <w:pStyle w:val="TableParagraph"/>
              <w:ind w:left="217" w:right="174" w:hanging="5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z w:val="20"/>
                <w:szCs w:val="16"/>
              </w:rPr>
              <w:t>Контактні дані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pacing w:val="-1"/>
                <w:sz w:val="20"/>
                <w:szCs w:val="16"/>
              </w:rPr>
              <w:t>особи/</w:t>
            </w:r>
            <w:r w:rsidR="00967086">
              <w:rPr>
                <w:b/>
                <w:spacing w:val="-1"/>
                <w:sz w:val="20"/>
                <w:szCs w:val="16"/>
              </w:rPr>
              <w:t xml:space="preserve">самостійного </w:t>
            </w:r>
            <w:r w:rsidRPr="00FE4E51">
              <w:rPr>
                <w:b/>
                <w:spacing w:val="-1"/>
                <w:sz w:val="20"/>
                <w:szCs w:val="16"/>
              </w:rPr>
              <w:t>структурного</w:t>
            </w:r>
            <w:r w:rsidRPr="00FE4E51">
              <w:rPr>
                <w:b/>
                <w:spacing w:val="-62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підрозділу,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відповідального за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проведення</w:t>
            </w:r>
            <w:r w:rsidRPr="00FE4E51">
              <w:rPr>
                <w:b/>
                <w:spacing w:val="1"/>
                <w:sz w:val="20"/>
                <w:szCs w:val="16"/>
              </w:rPr>
              <w:t xml:space="preserve"> </w:t>
            </w:r>
            <w:r w:rsidRPr="00FE4E51">
              <w:rPr>
                <w:b/>
                <w:sz w:val="20"/>
                <w:szCs w:val="16"/>
              </w:rPr>
              <w:t>консультацій</w:t>
            </w:r>
          </w:p>
          <w:p w14:paraId="53141DFC" w14:textId="77777777" w:rsidR="008D066F" w:rsidRPr="00FE4E51" w:rsidRDefault="004A5B80" w:rsidP="00FE4E51">
            <w:pPr>
              <w:pStyle w:val="TableParagraph"/>
              <w:spacing w:line="289" w:lineRule="exact"/>
              <w:ind w:left="393" w:right="353"/>
              <w:jc w:val="center"/>
              <w:rPr>
                <w:b/>
                <w:sz w:val="20"/>
                <w:szCs w:val="16"/>
              </w:rPr>
            </w:pPr>
            <w:r w:rsidRPr="00FE4E51">
              <w:rPr>
                <w:b/>
                <w:spacing w:val="-1"/>
                <w:sz w:val="20"/>
                <w:szCs w:val="16"/>
              </w:rPr>
              <w:t>(телефон,</w:t>
            </w:r>
            <w:r w:rsidRPr="00FE4E51">
              <w:rPr>
                <w:b/>
                <w:spacing w:val="-15"/>
                <w:sz w:val="20"/>
                <w:szCs w:val="16"/>
              </w:rPr>
              <w:t xml:space="preserve"> </w:t>
            </w:r>
            <w:r w:rsidRPr="00FE4E51">
              <w:rPr>
                <w:b/>
                <w:spacing w:val="-1"/>
                <w:sz w:val="20"/>
                <w:szCs w:val="16"/>
              </w:rPr>
              <w:t>e-mail)</w:t>
            </w:r>
          </w:p>
        </w:tc>
      </w:tr>
      <w:tr w:rsidR="00AA7DD8" w:rsidRPr="009560BD" w14:paraId="555D832F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376AD0DA" w14:textId="77777777" w:rsidR="00AA7DD8" w:rsidRDefault="007E1B1A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7DD8" w:rsidRPr="00FE4E51">
              <w:rPr>
                <w:sz w:val="28"/>
                <w:szCs w:val="28"/>
              </w:rPr>
              <w:t>.</w:t>
            </w:r>
          </w:p>
          <w:p w14:paraId="17DB1590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AD6EB09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2039B2D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F64DE32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BACFDA0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68ADEAE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88DA747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D574879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4884498F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606D9AE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1FD99CD0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7A619EAB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E10EE6D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A977914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00CD7EB" w14:textId="77777777" w:rsidR="00416A5F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7C44289" w14:textId="77777777" w:rsidR="00416A5F" w:rsidRPr="00FE4E51" w:rsidRDefault="00416A5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14:paraId="6F397EBF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lastRenderedPageBreak/>
              <w:t>Публічний звіт Голови Національної комісії зі стандартів державної мови про результати діяльності у 202</w:t>
            </w:r>
            <w:r w:rsidR="007E1B1A">
              <w:rPr>
                <w:sz w:val="28"/>
                <w:szCs w:val="28"/>
              </w:rPr>
              <w:t>3</w:t>
            </w:r>
            <w:r w:rsidRPr="00FE4E51">
              <w:rPr>
                <w:sz w:val="28"/>
                <w:szCs w:val="28"/>
              </w:rPr>
              <w:t xml:space="preserve"> році</w:t>
            </w:r>
          </w:p>
          <w:p w14:paraId="0BC064B2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6EE3A527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Оприлюднення на офіційному вебсайті Національної комісії зі стандартів державної мови</w:t>
            </w:r>
          </w:p>
          <w:p w14:paraId="2E43B49E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14:paraId="7674D727" w14:textId="77777777" w:rsidR="00AA7DD8" w:rsidRPr="00FE4E51" w:rsidRDefault="00AA7DD8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лютий</w:t>
            </w:r>
          </w:p>
        </w:tc>
        <w:tc>
          <w:tcPr>
            <w:tcW w:w="2693" w:type="dxa"/>
            <w:shd w:val="clear" w:color="auto" w:fill="auto"/>
          </w:tcPr>
          <w:p w14:paraId="7B6EF77D" w14:textId="77777777" w:rsidR="00AA7DD8" w:rsidRPr="00FE4E51" w:rsidRDefault="008F05EC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A7DD8" w:rsidRPr="00FE4E51">
              <w:rPr>
                <w:sz w:val="28"/>
                <w:szCs w:val="28"/>
              </w:rPr>
              <w:t>ромадяни України</w:t>
            </w:r>
          </w:p>
        </w:tc>
        <w:tc>
          <w:tcPr>
            <w:tcW w:w="4183" w:type="dxa"/>
            <w:shd w:val="clear" w:color="auto" w:fill="auto"/>
          </w:tcPr>
          <w:p w14:paraId="6B196E38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Член Комісії відповідно до розподілу обов’язків і повноважень</w:t>
            </w:r>
          </w:p>
          <w:p w14:paraId="49A64544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ABC2357" w14:textId="77777777" w:rsidR="00AA7DD8" w:rsidRPr="00FE4E51" w:rsidRDefault="004626D7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AA7DD8" w:rsidRPr="00FE4E51">
              <w:rPr>
                <w:sz w:val="28"/>
                <w:szCs w:val="28"/>
              </w:rPr>
              <w:t xml:space="preserve"> організаційного забезпечення, контролю та аналізу діяльності Апарату Комісії</w:t>
            </w:r>
          </w:p>
          <w:p w14:paraId="6EA467B7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342BD0A4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 xml:space="preserve">Відділ стандартів державної мови та забезпечення </w:t>
            </w:r>
            <w:r w:rsidRPr="00FE4E51">
              <w:rPr>
                <w:sz w:val="28"/>
                <w:szCs w:val="28"/>
              </w:rPr>
              <w:lastRenderedPageBreak/>
              <w:t>оцінювання рівня володіння державною мовою</w:t>
            </w:r>
          </w:p>
          <w:p w14:paraId="0FEFF27B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336166E" w14:textId="77777777" w:rsidR="00AA7DD8" w:rsidRPr="00FE4E51" w:rsidRDefault="00AA7DD8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044-235-00-64</w:t>
            </w:r>
          </w:p>
          <w:p w14:paraId="4D0720D9" w14:textId="77777777" w:rsidR="00AA7DD8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7" w:history="1">
              <w:r w:rsidRPr="001F294E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25840917" w14:textId="77777777" w:rsidR="00967086" w:rsidRPr="00FE4E51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  <w:tr w:rsidR="00AA7DD8" w:rsidRPr="009560BD" w14:paraId="4ED564BB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7F7E7504" w14:textId="77777777" w:rsidR="00AA7DD8" w:rsidRPr="00E41152" w:rsidRDefault="000B2EF3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A7DD8" w:rsidRPr="00E41152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315C1D94" w14:textId="77777777" w:rsidR="00416A5F" w:rsidRDefault="00EF6C75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Проєкт </w:t>
            </w:r>
            <w:r w:rsidRPr="00EF6C75">
              <w:rPr>
                <w:sz w:val="28"/>
                <w:szCs w:val="28"/>
              </w:rPr>
              <w:t>Стандарт</w:t>
            </w:r>
            <w:r>
              <w:rPr>
                <w:sz w:val="28"/>
                <w:szCs w:val="28"/>
              </w:rPr>
              <w:t>у</w:t>
            </w:r>
            <w:r w:rsidRPr="00EF6C75">
              <w:rPr>
                <w:sz w:val="28"/>
                <w:szCs w:val="28"/>
              </w:rPr>
              <w:t xml:space="preserve"> державної мови «Українська мова як іноземна.</w:t>
            </w:r>
            <w:r w:rsidR="00B9651B">
              <w:rPr>
                <w:sz w:val="28"/>
                <w:szCs w:val="28"/>
              </w:rPr>
              <w:t xml:space="preserve"> </w:t>
            </w:r>
            <w:r w:rsidRPr="00EF6C75">
              <w:rPr>
                <w:sz w:val="28"/>
                <w:szCs w:val="28"/>
              </w:rPr>
              <w:t>Рівні</w:t>
            </w:r>
            <w:r w:rsidR="00B9651B">
              <w:rPr>
                <w:sz w:val="28"/>
                <w:szCs w:val="28"/>
              </w:rPr>
              <w:t xml:space="preserve"> </w:t>
            </w:r>
            <w:r w:rsidRPr="00EF6C75">
              <w:rPr>
                <w:sz w:val="28"/>
                <w:szCs w:val="28"/>
              </w:rPr>
              <w:t>загального володіння А1</w:t>
            </w:r>
            <w:r w:rsidR="00B300B3">
              <w:rPr>
                <w:sz w:val="28"/>
                <w:szCs w:val="28"/>
              </w:rPr>
              <w:t>–</w:t>
            </w:r>
            <w:r w:rsidRPr="00EF6C75">
              <w:rPr>
                <w:sz w:val="28"/>
                <w:szCs w:val="28"/>
              </w:rPr>
              <w:t>С2»</w:t>
            </w:r>
          </w:p>
          <w:p w14:paraId="35E78BCF" w14:textId="77777777" w:rsidR="00416A5F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  <w:p w14:paraId="0EEB6443" w14:textId="77777777" w:rsidR="00416A5F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  <w:p w14:paraId="77720C91" w14:textId="77777777" w:rsidR="00416A5F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  <w:p w14:paraId="6D5919A6" w14:textId="77777777" w:rsidR="00416A5F" w:rsidRPr="00FE4E51" w:rsidRDefault="00416A5F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0E39E2A1" w14:textId="77777777" w:rsidR="00AA7DD8" w:rsidRPr="00FE4E51" w:rsidRDefault="00AA7DD8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 xml:space="preserve">Електронні консультації на офіційному вебсайті </w:t>
            </w:r>
            <w:r w:rsidR="00BD51BD" w:rsidRPr="00FE4E51">
              <w:rPr>
                <w:sz w:val="28"/>
                <w:szCs w:val="28"/>
              </w:rPr>
              <w:t>Національної комісії зі стандартів державної мови</w:t>
            </w:r>
          </w:p>
        </w:tc>
        <w:tc>
          <w:tcPr>
            <w:tcW w:w="2127" w:type="dxa"/>
            <w:shd w:val="clear" w:color="auto" w:fill="auto"/>
          </w:tcPr>
          <w:p w14:paraId="5DB7EE90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січень–грудень</w:t>
            </w:r>
          </w:p>
        </w:tc>
        <w:tc>
          <w:tcPr>
            <w:tcW w:w="2693" w:type="dxa"/>
            <w:shd w:val="clear" w:color="auto" w:fill="auto"/>
          </w:tcPr>
          <w:p w14:paraId="7447ED5D" w14:textId="77777777" w:rsidR="006C198F" w:rsidRDefault="008F05EC" w:rsidP="008F05EC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198F">
              <w:rPr>
                <w:sz w:val="28"/>
                <w:szCs w:val="28"/>
              </w:rPr>
              <w:t>ромадяни України, громадяни іноземних держав</w:t>
            </w:r>
          </w:p>
          <w:p w14:paraId="066A0DF0" w14:textId="77777777" w:rsidR="006C198F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DA55B1F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Заклади вищої освіти, наукові установи</w:t>
            </w:r>
          </w:p>
          <w:p w14:paraId="3BA5912C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9BF27D0" w14:textId="77777777" w:rsidR="006C198F" w:rsidRPr="00FE4E51" w:rsidRDefault="009610B7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C198F" w:rsidRPr="00FE4E51">
              <w:rPr>
                <w:sz w:val="28"/>
                <w:szCs w:val="28"/>
              </w:rPr>
              <w:t>ромадські організації</w:t>
            </w:r>
          </w:p>
          <w:p w14:paraId="156746CF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6142A6C" w14:textId="77777777" w:rsidR="006C198F" w:rsidRPr="00FE4E51" w:rsidRDefault="006C198F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Викладачі української мови як іноземної</w:t>
            </w:r>
          </w:p>
        </w:tc>
        <w:tc>
          <w:tcPr>
            <w:tcW w:w="4183" w:type="dxa"/>
            <w:shd w:val="clear" w:color="auto" w:fill="auto"/>
          </w:tcPr>
          <w:p w14:paraId="3EAC460E" w14:textId="77777777" w:rsidR="006C198F" w:rsidRPr="00FE4E51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Член Комісії відповідно до розподілу обов’язків і повноважень</w:t>
            </w:r>
          </w:p>
          <w:p w14:paraId="7208523C" w14:textId="77777777" w:rsidR="006C198F" w:rsidRPr="00FE4E51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4447CF1E" w14:textId="77777777" w:rsidR="006C198F" w:rsidRPr="00FE4E51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Відділ стандартів державної мови та забезпечення оцінювання рівня володіння державною мовою</w:t>
            </w:r>
          </w:p>
          <w:p w14:paraId="11E18D8A" w14:textId="77777777" w:rsidR="006C198F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14FFA03B" w14:textId="77777777" w:rsidR="006C198F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2DB2BAA5" w14:textId="77777777" w:rsidR="006C198F" w:rsidRPr="00834C5A" w:rsidRDefault="006C198F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834C5A">
              <w:rPr>
                <w:sz w:val="28"/>
                <w:szCs w:val="28"/>
              </w:rPr>
              <w:t>044-235-00-64</w:t>
            </w:r>
          </w:p>
          <w:p w14:paraId="3CAF2329" w14:textId="77777777" w:rsidR="006C198F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8" w:history="1">
              <w:r w:rsidRPr="001F294E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25E49FDB" w14:textId="77777777" w:rsidR="00967086" w:rsidRPr="00FE4E51" w:rsidRDefault="00967086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  <w:tr w:rsidR="0073493E" w:rsidRPr="0069472A" w14:paraId="4B9A05EC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6B864168" w14:textId="77777777" w:rsidR="0073493E" w:rsidRPr="0069472A" w:rsidRDefault="008F05EC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3493E" w:rsidRPr="0069472A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14:paraId="18882D11" w14:textId="77777777" w:rsidR="0044376E" w:rsidRPr="0069472A" w:rsidRDefault="0044376E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>Проєкт Антикорупційної програми Національної комісії зі стандартів державної мови на 2024–2026 роки</w:t>
            </w:r>
          </w:p>
          <w:p w14:paraId="3B35A970" w14:textId="77777777" w:rsidR="0073493E" w:rsidRPr="0069472A" w:rsidRDefault="0073493E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4B1F360" w14:textId="77777777" w:rsidR="0073493E" w:rsidRPr="0069472A" w:rsidRDefault="00015EDE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 xml:space="preserve">Електронні консультації на офіційному вебсайті Національної комісії зі стандартів державної </w:t>
            </w:r>
            <w:r w:rsidRPr="0069472A">
              <w:rPr>
                <w:sz w:val="28"/>
                <w:szCs w:val="28"/>
              </w:rPr>
              <w:lastRenderedPageBreak/>
              <w:t>мови</w:t>
            </w:r>
          </w:p>
        </w:tc>
        <w:tc>
          <w:tcPr>
            <w:tcW w:w="2127" w:type="dxa"/>
            <w:shd w:val="clear" w:color="auto" w:fill="auto"/>
          </w:tcPr>
          <w:p w14:paraId="09D25A82" w14:textId="77777777" w:rsidR="0073493E" w:rsidRPr="0069472A" w:rsidRDefault="00ED3AB7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січень–</w:t>
            </w:r>
            <w:r w:rsidR="00B300B3">
              <w:rPr>
                <w:sz w:val="28"/>
                <w:szCs w:val="28"/>
              </w:rPr>
              <w:t>травень</w:t>
            </w:r>
          </w:p>
        </w:tc>
        <w:tc>
          <w:tcPr>
            <w:tcW w:w="2693" w:type="dxa"/>
            <w:shd w:val="clear" w:color="auto" w:fill="auto"/>
          </w:tcPr>
          <w:p w14:paraId="65E6DC48" w14:textId="77777777" w:rsidR="00C92192" w:rsidRPr="0069472A" w:rsidRDefault="00685D4B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 xml:space="preserve"> </w:t>
            </w:r>
            <w:r w:rsidR="008F05EC">
              <w:rPr>
                <w:sz w:val="28"/>
                <w:szCs w:val="28"/>
              </w:rPr>
              <w:t>Г</w:t>
            </w:r>
            <w:r w:rsidRPr="0069472A">
              <w:rPr>
                <w:sz w:val="28"/>
                <w:szCs w:val="28"/>
              </w:rPr>
              <w:t xml:space="preserve">ромадяни </w:t>
            </w:r>
            <w:r w:rsidR="00135F96" w:rsidRPr="0069472A">
              <w:rPr>
                <w:sz w:val="28"/>
                <w:szCs w:val="28"/>
              </w:rPr>
              <w:t>України</w:t>
            </w:r>
          </w:p>
          <w:p w14:paraId="649D92B1" w14:textId="77777777" w:rsidR="00044F7F" w:rsidRPr="0069472A" w:rsidRDefault="00044F7F" w:rsidP="00044F7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183" w:type="dxa"/>
            <w:shd w:val="clear" w:color="auto" w:fill="auto"/>
          </w:tcPr>
          <w:p w14:paraId="0C1176A8" w14:textId="77777777" w:rsidR="00C92192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 xml:space="preserve">Голова Комісії </w:t>
            </w:r>
          </w:p>
          <w:p w14:paraId="1501C328" w14:textId="77777777" w:rsidR="0029340D" w:rsidRDefault="0029340D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7FA88AE0" w14:textId="77777777" w:rsidR="0029340D" w:rsidRPr="0069472A" w:rsidRDefault="0029340D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 Комісії</w:t>
            </w:r>
          </w:p>
          <w:p w14:paraId="7FE4C029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5ACF0CA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  <w:lang w:val="ru-RU"/>
              </w:rPr>
            </w:pPr>
            <w:r w:rsidRPr="0069472A">
              <w:rPr>
                <w:sz w:val="28"/>
                <w:szCs w:val="28"/>
              </w:rPr>
              <w:t>Головний спеціаліст з питань запобігання та виявлення корупції</w:t>
            </w:r>
          </w:p>
          <w:p w14:paraId="569E2DA7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0D4A4952" w14:textId="77777777" w:rsidR="00C92192" w:rsidRPr="0069472A" w:rsidRDefault="00C92192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lastRenderedPageBreak/>
              <w:t>044-235-00-64</w:t>
            </w:r>
          </w:p>
          <w:p w14:paraId="75EB869C" w14:textId="77777777" w:rsidR="0073493E" w:rsidRPr="0069472A" w:rsidRDefault="00C92192" w:rsidP="00967086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9" w:history="1">
              <w:r w:rsidRPr="0069472A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6797F4DF" w14:textId="77777777" w:rsidR="00967086" w:rsidRPr="0069472A" w:rsidRDefault="00967086" w:rsidP="00967086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  <w:tr w:rsidR="002D37E6" w:rsidRPr="0069472A" w14:paraId="1D941B3E" w14:textId="77777777" w:rsidTr="00FE4E51">
        <w:trPr>
          <w:trHeight w:val="297"/>
        </w:trPr>
        <w:tc>
          <w:tcPr>
            <w:tcW w:w="709" w:type="dxa"/>
            <w:shd w:val="clear" w:color="auto" w:fill="auto"/>
          </w:tcPr>
          <w:p w14:paraId="6EE212B0" w14:textId="77777777" w:rsidR="002D37E6" w:rsidRDefault="002D37E6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60" w:type="dxa"/>
            <w:shd w:val="clear" w:color="auto" w:fill="auto"/>
          </w:tcPr>
          <w:p w14:paraId="71F3CF9D" w14:textId="77777777" w:rsidR="002D37E6" w:rsidRPr="0069472A" w:rsidRDefault="002D37E6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Проєкт рішення Національної комісії зі стандартів державної мови «Про внесення змін до Порядку перевірки </w:t>
            </w:r>
            <w:r w:rsidR="00E618D6">
              <w:rPr>
                <w:sz w:val="28"/>
                <w:szCs w:val="28"/>
              </w:rPr>
              <w:t xml:space="preserve">рівня володіння державною мовою, затвердженого рішенням Національної комісії зі стандартів державної </w:t>
            </w:r>
            <w:r w:rsidR="00B83841">
              <w:rPr>
                <w:sz w:val="28"/>
                <w:szCs w:val="28"/>
              </w:rPr>
              <w:t>мови від</w:t>
            </w:r>
            <w:r w:rsidR="00B300B3">
              <w:rPr>
                <w:sz w:val="28"/>
                <w:szCs w:val="28"/>
              </w:rPr>
              <w:t xml:space="preserve"> </w:t>
            </w:r>
            <w:r w:rsidR="00E618D6">
              <w:rPr>
                <w:sz w:val="28"/>
                <w:szCs w:val="28"/>
              </w:rPr>
              <w:t>13</w:t>
            </w:r>
            <w:r w:rsidR="00B83841">
              <w:rPr>
                <w:sz w:val="28"/>
                <w:szCs w:val="28"/>
              </w:rPr>
              <w:t> </w:t>
            </w:r>
            <w:r w:rsidR="00E618D6">
              <w:rPr>
                <w:sz w:val="28"/>
                <w:szCs w:val="28"/>
              </w:rPr>
              <w:t>травня</w:t>
            </w:r>
            <w:r w:rsidR="00B83841">
              <w:rPr>
                <w:sz w:val="28"/>
                <w:szCs w:val="28"/>
              </w:rPr>
              <w:t xml:space="preserve"> </w:t>
            </w:r>
            <w:r w:rsidR="00E618D6">
              <w:rPr>
                <w:sz w:val="28"/>
                <w:szCs w:val="28"/>
              </w:rPr>
              <w:t>2021</w:t>
            </w:r>
            <w:r w:rsidR="00B83841">
              <w:rPr>
                <w:sz w:val="28"/>
                <w:szCs w:val="28"/>
              </w:rPr>
              <w:t> </w:t>
            </w:r>
            <w:r w:rsidR="00E618D6">
              <w:rPr>
                <w:sz w:val="28"/>
                <w:szCs w:val="28"/>
              </w:rPr>
              <w:t>року №</w:t>
            </w:r>
            <w:r w:rsidR="00B300B3">
              <w:rPr>
                <w:sz w:val="28"/>
                <w:szCs w:val="28"/>
              </w:rPr>
              <w:t> </w:t>
            </w:r>
            <w:r w:rsidR="00E618D6">
              <w:rPr>
                <w:sz w:val="28"/>
                <w:szCs w:val="28"/>
              </w:rPr>
              <w:t>20»</w:t>
            </w:r>
          </w:p>
        </w:tc>
        <w:tc>
          <w:tcPr>
            <w:tcW w:w="2126" w:type="dxa"/>
            <w:shd w:val="clear" w:color="auto" w:fill="auto"/>
          </w:tcPr>
          <w:p w14:paraId="3170A69C" w14:textId="77777777" w:rsidR="002D37E6" w:rsidRPr="0069472A" w:rsidRDefault="00E618D6" w:rsidP="00B6101F">
            <w:pPr>
              <w:pStyle w:val="TableParagraph"/>
              <w:ind w:left="148" w:right="130"/>
              <w:jc w:val="both"/>
              <w:rPr>
                <w:sz w:val="28"/>
                <w:szCs w:val="28"/>
              </w:rPr>
            </w:pPr>
            <w:r w:rsidRPr="0069472A">
              <w:rPr>
                <w:sz w:val="28"/>
                <w:szCs w:val="28"/>
              </w:rPr>
              <w:t>Електронні консультації на офіційному вебсайті Національної комісії зі стандартів державної мов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127" w:type="dxa"/>
            <w:shd w:val="clear" w:color="auto" w:fill="auto"/>
          </w:tcPr>
          <w:p w14:paraId="49B469CA" w14:textId="77777777" w:rsidR="002D37E6" w:rsidRDefault="009636D6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618D6">
              <w:rPr>
                <w:sz w:val="28"/>
                <w:szCs w:val="28"/>
              </w:rPr>
              <w:t>ерезень</w:t>
            </w:r>
            <w:r>
              <w:rPr>
                <w:sz w:val="28"/>
                <w:szCs w:val="28"/>
              </w:rPr>
              <w:t>–квітень</w:t>
            </w:r>
          </w:p>
        </w:tc>
        <w:tc>
          <w:tcPr>
            <w:tcW w:w="2693" w:type="dxa"/>
            <w:shd w:val="clear" w:color="auto" w:fill="auto"/>
          </w:tcPr>
          <w:p w14:paraId="294B5049" w14:textId="77777777" w:rsidR="002D37E6" w:rsidRDefault="00DA4603" w:rsidP="00B6101F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9472A">
              <w:rPr>
                <w:sz w:val="28"/>
                <w:szCs w:val="28"/>
              </w:rPr>
              <w:t>ромадяни України</w:t>
            </w:r>
          </w:p>
          <w:p w14:paraId="4953DB8F" w14:textId="77777777" w:rsidR="00DA4603" w:rsidRDefault="00DA4603" w:rsidP="00DA4603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11ACB07" w14:textId="77777777" w:rsidR="00DA4603" w:rsidRDefault="00DA4603" w:rsidP="00DA4603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6BEB895B" w14:textId="77777777" w:rsidR="00DA4603" w:rsidRPr="00FE4E51" w:rsidRDefault="00DA4603" w:rsidP="00DA4603">
            <w:pPr>
              <w:pStyle w:val="TableParagraph"/>
              <w:jc w:val="center"/>
              <w:rPr>
                <w:sz w:val="28"/>
                <w:szCs w:val="28"/>
              </w:rPr>
            </w:pPr>
            <w:r w:rsidRPr="00FE4E51">
              <w:rPr>
                <w:sz w:val="28"/>
                <w:szCs w:val="28"/>
              </w:rPr>
              <w:t>Заклади вищої освіти, наукові установи</w:t>
            </w:r>
          </w:p>
          <w:p w14:paraId="460162A4" w14:textId="77777777" w:rsidR="00DA4603" w:rsidRPr="00FE4E51" w:rsidRDefault="00DA4603" w:rsidP="00DA4603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3E320DB6" w14:textId="77777777" w:rsidR="00DA4603" w:rsidRPr="0069472A" w:rsidRDefault="00DA4603" w:rsidP="00DA4603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FE4E51">
              <w:rPr>
                <w:sz w:val="28"/>
                <w:szCs w:val="28"/>
              </w:rPr>
              <w:t>ромадські організації</w:t>
            </w:r>
          </w:p>
        </w:tc>
        <w:tc>
          <w:tcPr>
            <w:tcW w:w="4183" w:type="dxa"/>
            <w:shd w:val="clear" w:color="auto" w:fill="auto"/>
          </w:tcPr>
          <w:p w14:paraId="2144DAAF" w14:textId="77777777" w:rsidR="002D37E6" w:rsidRDefault="005F6175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Комісії</w:t>
            </w:r>
          </w:p>
          <w:p w14:paraId="69861DB3" w14:textId="77777777" w:rsidR="005F6175" w:rsidRDefault="005F6175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592E49B9" w14:textId="77777777" w:rsidR="005F6175" w:rsidRDefault="005F6175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 Комісії</w:t>
            </w:r>
          </w:p>
          <w:p w14:paraId="5FCF150C" w14:textId="77777777" w:rsidR="005F6175" w:rsidRDefault="005F6175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26675B35" w14:textId="77777777" w:rsidR="005F6175" w:rsidRDefault="0026052A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юридичного забезпечення</w:t>
            </w:r>
          </w:p>
          <w:p w14:paraId="6622BEAB" w14:textId="77777777" w:rsidR="0026052A" w:rsidRDefault="0026052A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  <w:p w14:paraId="5DF98BB9" w14:textId="77777777" w:rsidR="0026052A" w:rsidRPr="00834C5A" w:rsidRDefault="0026052A" w:rsidP="0026052A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r w:rsidRPr="00834C5A">
              <w:rPr>
                <w:sz w:val="28"/>
                <w:szCs w:val="28"/>
              </w:rPr>
              <w:t>044-235-00-64</w:t>
            </w:r>
          </w:p>
          <w:p w14:paraId="49721DBC" w14:textId="77777777" w:rsidR="0026052A" w:rsidRDefault="0026052A" w:rsidP="0026052A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  <w:hyperlink r:id="rId10" w:history="1">
              <w:r w:rsidRPr="001F294E">
                <w:rPr>
                  <w:rStyle w:val="a9"/>
                  <w:sz w:val="28"/>
                  <w:szCs w:val="28"/>
                </w:rPr>
                <w:t>info@mova.gov.ua</w:t>
              </w:r>
            </w:hyperlink>
          </w:p>
          <w:p w14:paraId="39EB93DB" w14:textId="77777777" w:rsidR="0026052A" w:rsidRPr="0069472A" w:rsidRDefault="0026052A" w:rsidP="00B6101F">
            <w:pPr>
              <w:pStyle w:val="TableParagraph"/>
              <w:ind w:left="149" w:right="201"/>
              <w:jc w:val="both"/>
              <w:rPr>
                <w:sz w:val="28"/>
                <w:szCs w:val="28"/>
              </w:rPr>
            </w:pPr>
          </w:p>
        </w:tc>
      </w:tr>
    </w:tbl>
    <w:p w14:paraId="55E5D577" w14:textId="77777777" w:rsidR="00120B68" w:rsidRPr="0069472A" w:rsidRDefault="00120B68" w:rsidP="00120B68">
      <w:pPr>
        <w:pStyle w:val="a3"/>
        <w:spacing w:before="3"/>
        <w:ind w:left="0"/>
        <w:jc w:val="center"/>
        <w:rPr>
          <w:b/>
          <w:sz w:val="16"/>
        </w:rPr>
      </w:pPr>
    </w:p>
    <w:p w14:paraId="6D3B1C0E" w14:textId="77777777" w:rsidR="00120B68" w:rsidRPr="0069472A" w:rsidRDefault="00120B68" w:rsidP="00120B68">
      <w:pPr>
        <w:pStyle w:val="a3"/>
        <w:spacing w:before="3"/>
        <w:ind w:left="0"/>
        <w:jc w:val="center"/>
        <w:rPr>
          <w:b/>
          <w:sz w:val="16"/>
        </w:rPr>
      </w:pPr>
    </w:p>
    <w:p w14:paraId="0FB03F86" w14:textId="77777777" w:rsidR="00120B68" w:rsidRPr="0069472A" w:rsidRDefault="00120B68" w:rsidP="00120B68">
      <w:pPr>
        <w:pStyle w:val="a3"/>
        <w:spacing w:before="3"/>
        <w:ind w:left="0"/>
        <w:jc w:val="center"/>
        <w:rPr>
          <w:b/>
          <w:sz w:val="16"/>
        </w:rPr>
      </w:pPr>
    </w:p>
    <w:p w14:paraId="7781A3A9" w14:textId="77777777" w:rsidR="0044004F" w:rsidRDefault="00483FB3" w:rsidP="00483FB3">
      <w:pPr>
        <w:pStyle w:val="a3"/>
        <w:spacing w:before="3"/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В. о. завідувача сектору</w:t>
      </w:r>
    </w:p>
    <w:p w14:paraId="43707C23" w14:textId="77777777" w:rsidR="00483FB3" w:rsidRPr="00483FB3" w:rsidRDefault="00483FB3" w:rsidP="00483FB3">
      <w:pPr>
        <w:pStyle w:val="a3"/>
        <w:spacing w:before="3"/>
        <w:ind w:left="0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юридичного забезпечення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Анна ФЕДЮК</w:t>
      </w:r>
    </w:p>
    <w:sectPr w:rsidR="00483FB3" w:rsidRPr="00483FB3" w:rsidSect="00483FB3">
      <w:headerReference w:type="default" r:id="rId11"/>
      <w:type w:val="continuous"/>
      <w:pgSz w:w="16860" w:h="11930" w:orient="landscape"/>
      <w:pgMar w:top="860" w:right="842" w:bottom="1843" w:left="8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E273" w14:textId="77777777" w:rsidR="007B085A" w:rsidRDefault="007B085A" w:rsidP="00870627">
      <w:r>
        <w:separator/>
      </w:r>
    </w:p>
  </w:endnote>
  <w:endnote w:type="continuationSeparator" w:id="0">
    <w:p w14:paraId="5C67EB28" w14:textId="77777777" w:rsidR="007B085A" w:rsidRDefault="007B085A" w:rsidP="0087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F72B" w14:textId="77777777" w:rsidR="007B085A" w:rsidRDefault="007B085A" w:rsidP="00870627">
      <w:r>
        <w:separator/>
      </w:r>
    </w:p>
  </w:footnote>
  <w:footnote w:type="continuationSeparator" w:id="0">
    <w:p w14:paraId="03F1DC02" w14:textId="77777777" w:rsidR="007B085A" w:rsidRDefault="007B085A" w:rsidP="00870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73752" w14:textId="77777777" w:rsidR="00870627" w:rsidRPr="00870627" w:rsidRDefault="00870627" w:rsidP="00870627">
    <w:pPr>
      <w:pStyle w:val="a5"/>
      <w:jc w:val="center"/>
      <w:rPr>
        <w:sz w:val="28"/>
        <w:szCs w:val="28"/>
      </w:rPr>
    </w:pPr>
    <w:r w:rsidRPr="00870627">
      <w:rPr>
        <w:sz w:val="28"/>
        <w:szCs w:val="28"/>
      </w:rPr>
      <w:fldChar w:fldCharType="begin"/>
    </w:r>
    <w:r w:rsidRPr="00870627">
      <w:rPr>
        <w:sz w:val="28"/>
        <w:szCs w:val="28"/>
      </w:rPr>
      <w:instrText>PAGE   \* MERGEFORMAT</w:instrText>
    </w:r>
    <w:r w:rsidRPr="00870627">
      <w:rPr>
        <w:sz w:val="28"/>
        <w:szCs w:val="28"/>
      </w:rPr>
      <w:fldChar w:fldCharType="separate"/>
    </w:r>
    <w:r w:rsidRPr="00870627">
      <w:rPr>
        <w:sz w:val="28"/>
        <w:szCs w:val="28"/>
      </w:rPr>
      <w:t>2</w:t>
    </w:r>
    <w:r w:rsidRPr="0087062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426C0"/>
    <w:multiLevelType w:val="hybridMultilevel"/>
    <w:tmpl w:val="8A1029D6"/>
    <w:lvl w:ilvl="0" w:tplc="7D10543C">
      <w:numFmt w:val="bullet"/>
      <w:lvlText w:val="-"/>
      <w:lvlJc w:val="left"/>
      <w:pPr>
        <w:ind w:left="970" w:hanging="771"/>
      </w:pPr>
      <w:rPr>
        <w:rFonts w:ascii="Times New Roman" w:eastAsia="Times New Roman" w:hAnsi="Times New Roman" w:cs="Times New Roman" w:hint="default"/>
        <w:w w:val="92"/>
        <w:sz w:val="26"/>
        <w:szCs w:val="26"/>
        <w:lang w:val="uk-UA" w:eastAsia="en-US" w:bidi="ar-SA"/>
      </w:rPr>
    </w:lvl>
    <w:lvl w:ilvl="1" w:tplc="E2BE3BB4">
      <w:numFmt w:val="bullet"/>
      <w:lvlText w:val="•"/>
      <w:lvlJc w:val="left"/>
      <w:pPr>
        <w:ind w:left="2417" w:hanging="771"/>
      </w:pPr>
      <w:rPr>
        <w:rFonts w:hint="default"/>
        <w:lang w:val="uk-UA" w:eastAsia="en-US" w:bidi="ar-SA"/>
      </w:rPr>
    </w:lvl>
    <w:lvl w:ilvl="2" w:tplc="D26C2BD6">
      <w:numFmt w:val="bullet"/>
      <w:lvlText w:val="•"/>
      <w:lvlJc w:val="left"/>
      <w:pPr>
        <w:ind w:left="3854" w:hanging="771"/>
      </w:pPr>
      <w:rPr>
        <w:rFonts w:hint="default"/>
        <w:lang w:val="uk-UA" w:eastAsia="en-US" w:bidi="ar-SA"/>
      </w:rPr>
    </w:lvl>
    <w:lvl w:ilvl="3" w:tplc="1682BEFE">
      <w:numFmt w:val="bullet"/>
      <w:lvlText w:val="•"/>
      <w:lvlJc w:val="left"/>
      <w:pPr>
        <w:ind w:left="5291" w:hanging="771"/>
      </w:pPr>
      <w:rPr>
        <w:rFonts w:hint="default"/>
        <w:lang w:val="uk-UA" w:eastAsia="en-US" w:bidi="ar-SA"/>
      </w:rPr>
    </w:lvl>
    <w:lvl w:ilvl="4" w:tplc="A96E526E">
      <w:numFmt w:val="bullet"/>
      <w:lvlText w:val="•"/>
      <w:lvlJc w:val="left"/>
      <w:pPr>
        <w:ind w:left="6728" w:hanging="771"/>
      </w:pPr>
      <w:rPr>
        <w:rFonts w:hint="default"/>
        <w:lang w:val="uk-UA" w:eastAsia="en-US" w:bidi="ar-SA"/>
      </w:rPr>
    </w:lvl>
    <w:lvl w:ilvl="5" w:tplc="C4B637A2">
      <w:numFmt w:val="bullet"/>
      <w:lvlText w:val="•"/>
      <w:lvlJc w:val="left"/>
      <w:pPr>
        <w:ind w:left="8165" w:hanging="771"/>
      </w:pPr>
      <w:rPr>
        <w:rFonts w:hint="default"/>
        <w:lang w:val="uk-UA" w:eastAsia="en-US" w:bidi="ar-SA"/>
      </w:rPr>
    </w:lvl>
    <w:lvl w:ilvl="6" w:tplc="8DE87212">
      <w:numFmt w:val="bullet"/>
      <w:lvlText w:val="•"/>
      <w:lvlJc w:val="left"/>
      <w:pPr>
        <w:ind w:left="9602" w:hanging="771"/>
      </w:pPr>
      <w:rPr>
        <w:rFonts w:hint="default"/>
        <w:lang w:val="uk-UA" w:eastAsia="en-US" w:bidi="ar-SA"/>
      </w:rPr>
    </w:lvl>
    <w:lvl w:ilvl="7" w:tplc="84F2CB96">
      <w:numFmt w:val="bullet"/>
      <w:lvlText w:val="•"/>
      <w:lvlJc w:val="left"/>
      <w:pPr>
        <w:ind w:left="11039" w:hanging="771"/>
      </w:pPr>
      <w:rPr>
        <w:rFonts w:hint="default"/>
        <w:lang w:val="uk-UA" w:eastAsia="en-US" w:bidi="ar-SA"/>
      </w:rPr>
    </w:lvl>
    <w:lvl w:ilvl="8" w:tplc="C1FC812A">
      <w:numFmt w:val="bullet"/>
      <w:lvlText w:val="•"/>
      <w:lvlJc w:val="left"/>
      <w:pPr>
        <w:ind w:left="12476" w:hanging="77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6F"/>
    <w:rsid w:val="00004BB2"/>
    <w:rsid w:val="0001399E"/>
    <w:rsid w:val="00015EDE"/>
    <w:rsid w:val="0001753E"/>
    <w:rsid w:val="0002547D"/>
    <w:rsid w:val="00044F7F"/>
    <w:rsid w:val="00057062"/>
    <w:rsid w:val="000741CD"/>
    <w:rsid w:val="000862DE"/>
    <w:rsid w:val="00091AA7"/>
    <w:rsid w:val="000B2EF3"/>
    <w:rsid w:val="000B6DB5"/>
    <w:rsid w:val="000C48C1"/>
    <w:rsid w:val="0010539B"/>
    <w:rsid w:val="001076C2"/>
    <w:rsid w:val="00120B68"/>
    <w:rsid w:val="00135F96"/>
    <w:rsid w:val="00136A83"/>
    <w:rsid w:val="001422C6"/>
    <w:rsid w:val="00152CF6"/>
    <w:rsid w:val="0015608F"/>
    <w:rsid w:val="00180F55"/>
    <w:rsid w:val="00184A13"/>
    <w:rsid w:val="001A1CC0"/>
    <w:rsid w:val="001A632C"/>
    <w:rsid w:val="002500F0"/>
    <w:rsid w:val="00256C3C"/>
    <w:rsid w:val="0026052A"/>
    <w:rsid w:val="0029340D"/>
    <w:rsid w:val="002A3CC2"/>
    <w:rsid w:val="002B6085"/>
    <w:rsid w:val="002D2169"/>
    <w:rsid w:val="002D37E6"/>
    <w:rsid w:val="00312DCB"/>
    <w:rsid w:val="00322548"/>
    <w:rsid w:val="003D3B3C"/>
    <w:rsid w:val="00402C1F"/>
    <w:rsid w:val="00416A5F"/>
    <w:rsid w:val="00437BA9"/>
    <w:rsid w:val="0044004F"/>
    <w:rsid w:val="00442839"/>
    <w:rsid w:val="0044376E"/>
    <w:rsid w:val="004453DF"/>
    <w:rsid w:val="00447EEA"/>
    <w:rsid w:val="004626D7"/>
    <w:rsid w:val="00463B35"/>
    <w:rsid w:val="00465948"/>
    <w:rsid w:val="00476A3A"/>
    <w:rsid w:val="00483FB3"/>
    <w:rsid w:val="004969B7"/>
    <w:rsid w:val="004A5B80"/>
    <w:rsid w:val="004D6981"/>
    <w:rsid w:val="004E1054"/>
    <w:rsid w:val="005004C3"/>
    <w:rsid w:val="005164F3"/>
    <w:rsid w:val="005226B6"/>
    <w:rsid w:val="005425C5"/>
    <w:rsid w:val="005A023E"/>
    <w:rsid w:val="005A5749"/>
    <w:rsid w:val="005B06A6"/>
    <w:rsid w:val="005B46F5"/>
    <w:rsid w:val="005C7C73"/>
    <w:rsid w:val="005F2B58"/>
    <w:rsid w:val="005F4C22"/>
    <w:rsid w:val="005F6175"/>
    <w:rsid w:val="006310FD"/>
    <w:rsid w:val="00653CAC"/>
    <w:rsid w:val="00663384"/>
    <w:rsid w:val="0067682B"/>
    <w:rsid w:val="00685143"/>
    <w:rsid w:val="00685D4B"/>
    <w:rsid w:val="0069472A"/>
    <w:rsid w:val="006B1A1F"/>
    <w:rsid w:val="006C108F"/>
    <w:rsid w:val="006C198F"/>
    <w:rsid w:val="006C5E96"/>
    <w:rsid w:val="006F1555"/>
    <w:rsid w:val="00703D9F"/>
    <w:rsid w:val="0071747E"/>
    <w:rsid w:val="0073493E"/>
    <w:rsid w:val="00743660"/>
    <w:rsid w:val="00744850"/>
    <w:rsid w:val="00767676"/>
    <w:rsid w:val="007678F1"/>
    <w:rsid w:val="007A4373"/>
    <w:rsid w:val="007B085A"/>
    <w:rsid w:val="007E1B1A"/>
    <w:rsid w:val="00834C5A"/>
    <w:rsid w:val="00866898"/>
    <w:rsid w:val="00870627"/>
    <w:rsid w:val="00872FA9"/>
    <w:rsid w:val="008D066F"/>
    <w:rsid w:val="008F05EC"/>
    <w:rsid w:val="009453E9"/>
    <w:rsid w:val="009560BD"/>
    <w:rsid w:val="009610B7"/>
    <w:rsid w:val="00961266"/>
    <w:rsid w:val="009636D6"/>
    <w:rsid w:val="00967086"/>
    <w:rsid w:val="009719DF"/>
    <w:rsid w:val="00972D79"/>
    <w:rsid w:val="00981FD4"/>
    <w:rsid w:val="009C5A12"/>
    <w:rsid w:val="009D4478"/>
    <w:rsid w:val="009F6103"/>
    <w:rsid w:val="00A01925"/>
    <w:rsid w:val="00AA29B6"/>
    <w:rsid w:val="00AA7DD8"/>
    <w:rsid w:val="00B218A2"/>
    <w:rsid w:val="00B300B3"/>
    <w:rsid w:val="00B6101F"/>
    <w:rsid w:val="00B63798"/>
    <w:rsid w:val="00B83841"/>
    <w:rsid w:val="00B9651B"/>
    <w:rsid w:val="00BD1CDC"/>
    <w:rsid w:val="00BD51BD"/>
    <w:rsid w:val="00BF7239"/>
    <w:rsid w:val="00C25657"/>
    <w:rsid w:val="00C44BA8"/>
    <w:rsid w:val="00C63CD2"/>
    <w:rsid w:val="00C65110"/>
    <w:rsid w:val="00C66691"/>
    <w:rsid w:val="00C8020F"/>
    <w:rsid w:val="00C92192"/>
    <w:rsid w:val="00CA4EE5"/>
    <w:rsid w:val="00CB66A2"/>
    <w:rsid w:val="00CD3AB0"/>
    <w:rsid w:val="00D1456E"/>
    <w:rsid w:val="00D5247A"/>
    <w:rsid w:val="00D65A17"/>
    <w:rsid w:val="00D76BA5"/>
    <w:rsid w:val="00D83100"/>
    <w:rsid w:val="00DA4603"/>
    <w:rsid w:val="00DC2B2F"/>
    <w:rsid w:val="00DF11E3"/>
    <w:rsid w:val="00DF3F2C"/>
    <w:rsid w:val="00E0281A"/>
    <w:rsid w:val="00E3605E"/>
    <w:rsid w:val="00E41152"/>
    <w:rsid w:val="00E43121"/>
    <w:rsid w:val="00E618D6"/>
    <w:rsid w:val="00EC3999"/>
    <w:rsid w:val="00ED3AB7"/>
    <w:rsid w:val="00EE0EC2"/>
    <w:rsid w:val="00EF4806"/>
    <w:rsid w:val="00EF6C75"/>
    <w:rsid w:val="00F32778"/>
    <w:rsid w:val="00F75D34"/>
    <w:rsid w:val="00F77489"/>
    <w:rsid w:val="00F77A01"/>
    <w:rsid w:val="00F83513"/>
    <w:rsid w:val="00FE3539"/>
    <w:rsid w:val="00FE4E51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10E84"/>
  <w15:docId w15:val="{55F1E540-095E-4E0A-ACD1-0B41CB4F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970" w:hanging="77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rvts9">
    <w:name w:val="rvts9"/>
    <w:basedOn w:val="a0"/>
    <w:rsid w:val="000C48C1"/>
  </w:style>
  <w:style w:type="paragraph" w:styleId="a5">
    <w:name w:val="header"/>
    <w:basedOn w:val="a"/>
    <w:link w:val="a6"/>
    <w:uiPriority w:val="99"/>
    <w:unhideWhenUsed/>
    <w:rsid w:val="00870627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link w:val="a5"/>
    <w:uiPriority w:val="99"/>
    <w:rsid w:val="00870627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870627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link w:val="a7"/>
    <w:uiPriority w:val="99"/>
    <w:rsid w:val="00870627"/>
    <w:rPr>
      <w:rFonts w:ascii="Times New Roman" w:eastAsia="Times New Roman" w:hAnsi="Times New Roman" w:cs="Times New Roman"/>
      <w:lang w:val="uk-UA"/>
    </w:rPr>
  </w:style>
  <w:style w:type="character" w:styleId="a9">
    <w:name w:val="Hyperlink"/>
    <w:uiPriority w:val="99"/>
    <w:unhideWhenUsed/>
    <w:rsid w:val="006C198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6C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va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ova.gov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mova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va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1024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Commission for State Language Standards</Company>
  <LinksUpToDate>false</LinksUpToDate>
  <CharactersWithSpaces>2813</CharactersWithSpaces>
  <SharedDoc>false</SharedDoc>
  <HLinks>
    <vt:vector size="24" baseType="variant">
      <vt:variant>
        <vt:i4>4653119</vt:i4>
      </vt:variant>
      <vt:variant>
        <vt:i4>9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  <vt:variant>
        <vt:i4>4653119</vt:i4>
      </vt:variant>
      <vt:variant>
        <vt:i4>6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  <vt:variant>
        <vt:i4>4653119</vt:i4>
      </vt:variant>
      <vt:variant>
        <vt:i4>3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  <vt:variant>
        <vt:i4>4653119</vt:i4>
      </vt:variant>
      <vt:variant>
        <vt:i4>0</vt:i4>
      </vt:variant>
      <vt:variant>
        <vt:i4>0</vt:i4>
      </vt:variant>
      <vt:variant>
        <vt:i4>5</vt:i4>
      </vt:variant>
      <vt:variant>
        <vt:lpwstr>mailto:info@mova.gov.ua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ЗОЦЕНКО Ганна Іванівна</dc:creator>
  <cp:keywords/>
  <cp:lastModifiedBy>Максим Дідух</cp:lastModifiedBy>
  <cp:revision>2</cp:revision>
  <cp:lastPrinted>2024-01-04T08:23:00Z</cp:lastPrinted>
  <dcterms:created xsi:type="dcterms:W3CDTF">2024-04-01T09:38:00Z</dcterms:created>
  <dcterms:modified xsi:type="dcterms:W3CDTF">2024-04-01T09:38:00Z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2023-01-03T00:00:00Z</vt:filetime>
  </property>
</Properties>
</file>